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C944FE">
        <w:rPr>
          <w:b/>
          <w:bCs/>
        </w:rPr>
        <w:t>.09</w:t>
      </w:r>
      <w:r w:rsidR="00046460">
        <w:rPr>
          <w:b/>
          <w:bCs/>
        </w:rPr>
        <w:t xml:space="preserve"> </w:t>
      </w:r>
      <w:r w:rsidR="00C944FE" w:rsidRPr="00C944FE">
        <w:rPr>
          <w:b/>
          <w:bCs/>
        </w:rPr>
        <w:t>МАРКЕТИНГ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C944FE" w:rsidRPr="00C944FE">
        <w:rPr>
          <w:bCs/>
        </w:rPr>
        <w:t>Маркетинг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C944FE" w:rsidRPr="00C944FE">
        <w:rPr>
          <w:bCs/>
        </w:rPr>
        <w:t>Маркетинг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3CB2" w:rsidRPr="00046460" w:rsidRDefault="00C512FD" w:rsidP="000464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046460">
        <w:t>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E01EEB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944FE" w:rsidRPr="00C944FE">
        <w:rPr>
          <w:bCs/>
        </w:rPr>
        <w:t>Маркетинг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C944FE" w:rsidRPr="00C944FE" w:rsidRDefault="00E01EEB" w:rsidP="00C944FE">
      <w:pPr>
        <w:pStyle w:val="21"/>
        <w:ind w:firstLine="426"/>
        <w:jc w:val="both"/>
        <w:rPr>
          <w:b w:val="0"/>
          <w:sz w:val="24"/>
          <w:szCs w:val="28"/>
        </w:rPr>
      </w:pPr>
      <w:r w:rsidRPr="00E01EEB">
        <w:lastRenderedPageBreak/>
        <w:t xml:space="preserve"> </w:t>
      </w:r>
      <w:r w:rsidR="00C944FE" w:rsidRPr="00C944FE">
        <w:rPr>
          <w:b w:val="0"/>
          <w:sz w:val="24"/>
          <w:szCs w:val="28"/>
        </w:rPr>
        <w:t>•</w:t>
      </w:r>
      <w:r w:rsidR="00C944FE" w:rsidRPr="00C944FE">
        <w:rPr>
          <w:b w:val="0"/>
          <w:sz w:val="24"/>
          <w:szCs w:val="28"/>
        </w:rPr>
        <w:tab/>
        <w:t>особенности и инструменты стратегического и оперативного маркетинга,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 xml:space="preserve">маркетинговую составляющую всех стадий создания и движения товара от его замысла до реализации спроса на него, 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>инструменты товарного маркетинга,</w:t>
      </w:r>
      <w:r>
        <w:rPr>
          <w:b w:val="0"/>
          <w:sz w:val="24"/>
          <w:szCs w:val="28"/>
        </w:rPr>
        <w:t xml:space="preserve"> ассортиментной и марочной поли</w:t>
      </w:r>
      <w:r w:rsidRPr="00C944FE">
        <w:rPr>
          <w:b w:val="0"/>
          <w:sz w:val="24"/>
          <w:szCs w:val="28"/>
        </w:rPr>
        <w:t>тики,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>принципы маркетингового ценообразования,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>технологию сбыта товаров,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 xml:space="preserve">методы формирования каналов товародвижения, </w:t>
      </w:r>
    </w:p>
    <w:p w:rsidR="00C944FE" w:rsidRPr="00C944FE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>способы продвижения товаров и другие инструменты возд</w:t>
      </w:r>
      <w:r>
        <w:rPr>
          <w:b w:val="0"/>
          <w:sz w:val="24"/>
          <w:szCs w:val="28"/>
        </w:rPr>
        <w:t>ействия на по</w:t>
      </w:r>
      <w:r w:rsidRPr="00C944FE">
        <w:rPr>
          <w:b w:val="0"/>
          <w:sz w:val="24"/>
          <w:szCs w:val="28"/>
        </w:rPr>
        <w:t>ведение потребителей,</w:t>
      </w:r>
    </w:p>
    <w:p w:rsidR="00EF5C7B" w:rsidRDefault="00C944FE" w:rsidP="00C944FE">
      <w:pPr>
        <w:pStyle w:val="21"/>
        <w:jc w:val="both"/>
        <w:rPr>
          <w:b w:val="0"/>
          <w:sz w:val="24"/>
          <w:szCs w:val="28"/>
        </w:rPr>
      </w:pPr>
      <w:r w:rsidRPr="00C944FE">
        <w:rPr>
          <w:b w:val="0"/>
          <w:sz w:val="24"/>
          <w:szCs w:val="28"/>
        </w:rPr>
        <w:t>•</w:t>
      </w:r>
      <w:r w:rsidRPr="00C944FE">
        <w:rPr>
          <w:b w:val="0"/>
          <w:sz w:val="24"/>
          <w:szCs w:val="28"/>
        </w:rPr>
        <w:tab/>
        <w:t>методологию маркетинговых исследований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C944FE" w:rsidRPr="00C944FE">
        <w:rPr>
          <w:bCs/>
        </w:rPr>
        <w:t>Маркетинг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C944FE" w:rsidRDefault="00C944FE" w:rsidP="00C944FE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 xml:space="preserve">ориентироваться на рынке маркетинговой информации, </w:t>
      </w:r>
    </w:p>
    <w:p w:rsidR="00C944FE" w:rsidRDefault="00C944FE" w:rsidP="00C944FE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грамотно организовать сбор и об</w:t>
      </w:r>
      <w:r>
        <w:rPr>
          <w:lang w:eastAsia="ar-SA"/>
        </w:rPr>
        <w:t>работку необходимых для исследо</w:t>
      </w:r>
      <w:r>
        <w:rPr>
          <w:lang w:eastAsia="ar-SA"/>
        </w:rPr>
        <w:t xml:space="preserve">вания данных, </w:t>
      </w:r>
    </w:p>
    <w:p w:rsidR="00C944FE" w:rsidRDefault="00C944FE" w:rsidP="00C944FE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осуществить анализ рыночных параметров,</w:t>
      </w:r>
    </w:p>
    <w:p w:rsidR="00C944FE" w:rsidRDefault="00C944FE" w:rsidP="00C944FE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разрабатывать маркетинговые страт</w:t>
      </w:r>
      <w:r>
        <w:rPr>
          <w:lang w:eastAsia="ar-SA"/>
        </w:rPr>
        <w:t>егии исходя из результатов ситу</w:t>
      </w:r>
      <w:r>
        <w:rPr>
          <w:lang w:eastAsia="ar-SA"/>
        </w:rPr>
        <w:t>ационного анализа и целей фирмы,</w:t>
      </w:r>
    </w:p>
    <w:p w:rsidR="00AF1220" w:rsidRPr="00174163" w:rsidRDefault="00C944FE" w:rsidP="00C944FE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•</w:t>
      </w:r>
      <w:r>
        <w:rPr>
          <w:lang w:eastAsia="ar-SA"/>
        </w:rPr>
        <w:tab/>
        <w:t>применять полученные знания на практике, в сфере управл</w:t>
      </w:r>
      <w:r>
        <w:rPr>
          <w:lang w:eastAsia="ar-SA"/>
        </w:rPr>
        <w:t xml:space="preserve">ения рыночными процессами, их </w:t>
      </w:r>
      <w:r>
        <w:rPr>
          <w:lang w:eastAsia="ar-SA"/>
        </w:rPr>
        <w:t>регулирования и исследования</w:t>
      </w:r>
      <w:r w:rsidR="00372544">
        <w:rPr>
          <w:lang w:eastAsia="ar-SA"/>
        </w:rPr>
        <w:t>.</w:t>
      </w:r>
    </w:p>
    <w:p w:rsidR="005D7DA6" w:rsidRPr="00372544" w:rsidRDefault="00F775DD" w:rsidP="005D7DA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E01EEB" w:rsidRDefault="00E01EEB" w:rsidP="00E01EEB">
      <w:pPr>
        <w:jc w:val="both"/>
      </w:pPr>
    </w:p>
    <w:p w:rsidR="00C944FE" w:rsidRDefault="00C944FE" w:rsidP="00C944FE">
      <w:pPr>
        <w:jc w:val="both"/>
      </w:pPr>
      <w:r>
        <w:t xml:space="preserve">Тема 1. </w:t>
      </w:r>
      <w:bookmarkStart w:id="0" w:name="_GoBack"/>
      <w:bookmarkEnd w:id="0"/>
      <w:r>
        <w:t>Понятие и организация марке</w:t>
      </w:r>
      <w:r>
        <w:t xml:space="preserve">тинга. </w:t>
      </w:r>
      <w:r>
        <w:tab/>
      </w:r>
      <w:r>
        <w:tab/>
      </w:r>
    </w:p>
    <w:p w:rsidR="00C944FE" w:rsidRDefault="00C944FE" w:rsidP="00C944FE">
      <w:pPr>
        <w:jc w:val="both"/>
      </w:pPr>
      <w:r>
        <w:t>Тема 2. Маркетинговая среда фирмы</w:t>
      </w:r>
    </w:p>
    <w:p w:rsidR="00C944FE" w:rsidRDefault="00C944FE" w:rsidP="00C944FE">
      <w:pPr>
        <w:jc w:val="both"/>
      </w:pPr>
      <w:r>
        <w:t xml:space="preserve">Тема 3. </w:t>
      </w:r>
      <w:r>
        <w:t>Спрос как объект маркетинга</w:t>
      </w:r>
      <w:r>
        <w:tab/>
      </w:r>
    </w:p>
    <w:p w:rsidR="00C944FE" w:rsidRDefault="00C944FE" w:rsidP="00C944FE">
      <w:pPr>
        <w:jc w:val="both"/>
      </w:pPr>
      <w:r>
        <w:t>Тема 4. Стратегический маркетинг</w:t>
      </w:r>
    </w:p>
    <w:p w:rsidR="00C944FE" w:rsidRDefault="00C944FE" w:rsidP="00C944FE">
      <w:pPr>
        <w:jc w:val="both"/>
      </w:pPr>
      <w:r>
        <w:t>Тема 5. Товарный маркетинг</w:t>
      </w:r>
      <w:r>
        <w:tab/>
      </w:r>
    </w:p>
    <w:p w:rsidR="00C944FE" w:rsidRDefault="00C944FE" w:rsidP="00C944FE">
      <w:pPr>
        <w:jc w:val="both"/>
      </w:pPr>
      <w:r>
        <w:t>Тема 6. Ценовой маркетинг</w:t>
      </w:r>
      <w:r>
        <w:tab/>
      </w:r>
    </w:p>
    <w:p w:rsidR="00C944FE" w:rsidRDefault="00C944FE" w:rsidP="00C944FE">
      <w:pPr>
        <w:jc w:val="both"/>
      </w:pPr>
      <w:r>
        <w:t>Тема 7. Сбытовой маркет</w:t>
      </w:r>
      <w:r>
        <w:t xml:space="preserve">инг </w:t>
      </w:r>
    </w:p>
    <w:p w:rsidR="00C944FE" w:rsidRDefault="00C944FE" w:rsidP="00C944FE">
      <w:pPr>
        <w:jc w:val="both"/>
      </w:pPr>
      <w:r>
        <w:t xml:space="preserve">Тема 8. </w:t>
      </w:r>
      <w:r>
        <w:t xml:space="preserve">Маркетинговые коммуникации </w:t>
      </w:r>
      <w:r>
        <w:tab/>
      </w:r>
    </w:p>
    <w:p w:rsidR="00372544" w:rsidRPr="00C512FD" w:rsidRDefault="00C944FE" w:rsidP="00C944FE">
      <w:pPr>
        <w:jc w:val="both"/>
      </w:pPr>
      <w:r>
        <w:t>Тема 9. Маркетинговые ис</w:t>
      </w:r>
      <w:r>
        <w:t>следования</w:t>
      </w:r>
      <w:r>
        <w:tab/>
      </w:r>
    </w:p>
    <w:sectPr w:rsidR="00372544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46460"/>
    <w:rsid w:val="00174163"/>
    <w:rsid w:val="001E6183"/>
    <w:rsid w:val="00216E04"/>
    <w:rsid w:val="00372544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C944FE"/>
    <w:rsid w:val="00D8576A"/>
    <w:rsid w:val="00E01EEB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2017-10-29T21:17:00Z</dcterms:created>
  <dcterms:modified xsi:type="dcterms:W3CDTF">2017-10-29T21:21:00Z</dcterms:modified>
</cp:coreProperties>
</file>