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7079CE" w:rsidRDefault="0041350B" w:rsidP="007079CE">
      <w:pPr>
        <w:jc w:val="center"/>
        <w:rPr>
          <w:b/>
          <w:color w:val="000000" w:themeColor="text1"/>
        </w:rPr>
      </w:pPr>
      <w:r w:rsidRPr="007079CE">
        <w:rPr>
          <w:b/>
          <w:color w:val="000000" w:themeColor="text1"/>
        </w:rPr>
        <w:t>АНН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ТАЦИИ</w:t>
      </w:r>
      <w:r w:rsidRPr="007079CE">
        <w:rPr>
          <w:b/>
          <w:color w:val="000000" w:themeColor="text1"/>
          <w:spacing w:val="2"/>
        </w:rPr>
        <w:t xml:space="preserve"> </w:t>
      </w:r>
      <w:r w:rsidRPr="007079CE">
        <w:rPr>
          <w:b/>
          <w:color w:val="000000" w:themeColor="text1"/>
        </w:rPr>
        <w:t>ПР</w:t>
      </w:r>
      <w:r w:rsidRPr="007079CE">
        <w:rPr>
          <w:b/>
          <w:color w:val="000000" w:themeColor="text1"/>
          <w:spacing w:val="-2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РА</w:t>
      </w:r>
      <w:r w:rsidRPr="007079CE">
        <w:rPr>
          <w:b/>
          <w:color w:val="000000" w:themeColor="text1"/>
          <w:spacing w:val="-2"/>
        </w:rPr>
        <w:t>М</w:t>
      </w:r>
      <w:r w:rsidRPr="007079CE">
        <w:rPr>
          <w:b/>
          <w:color w:val="000000" w:themeColor="text1"/>
        </w:rPr>
        <w:t>М ПРОФ</w:t>
      </w:r>
      <w:r w:rsidRPr="007079CE">
        <w:rPr>
          <w:b/>
          <w:color w:val="000000" w:themeColor="text1"/>
          <w:spacing w:val="1"/>
        </w:rPr>
        <w:t>Е</w:t>
      </w:r>
      <w:r w:rsidRPr="007079CE">
        <w:rPr>
          <w:b/>
          <w:color w:val="000000" w:themeColor="text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</w:rPr>
        <w:t>И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НА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</w:rPr>
        <w:t>ЬНЫХ</w:t>
      </w:r>
      <w:r w:rsidRPr="007079CE">
        <w:rPr>
          <w:b/>
          <w:color w:val="000000" w:themeColor="text1"/>
          <w:spacing w:val="-1"/>
        </w:rPr>
        <w:t xml:space="preserve"> М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Д</w:t>
      </w:r>
      <w:r w:rsidRPr="007079CE">
        <w:rPr>
          <w:b/>
          <w:color w:val="000000" w:themeColor="text1"/>
          <w:spacing w:val="-1"/>
        </w:rPr>
        <w:t>У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  <w:spacing w:val="-2"/>
        </w:rPr>
        <w:t>Е</w:t>
      </w:r>
      <w:r w:rsidRPr="007079CE">
        <w:rPr>
          <w:b/>
          <w:color w:val="000000" w:themeColor="text1"/>
        </w:rPr>
        <w:t>Й</w:t>
      </w:r>
    </w:p>
    <w:p w:rsidR="0041350B" w:rsidRPr="007079CE" w:rsidRDefault="0041350B" w:rsidP="007079CE">
      <w:pPr>
        <w:jc w:val="center"/>
        <w:rPr>
          <w:color w:val="000000" w:themeColor="text1"/>
        </w:rPr>
      </w:pPr>
      <w:r w:rsidRPr="007079CE">
        <w:rPr>
          <w:b/>
          <w:color w:val="000000" w:themeColor="text1"/>
        </w:rPr>
        <w:t>Ан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2"/>
        </w:rPr>
        <w:t>т</w:t>
      </w:r>
      <w:r w:rsidRPr="007079CE">
        <w:rPr>
          <w:b/>
          <w:color w:val="000000" w:themeColor="text1"/>
          <w:spacing w:val="-2"/>
        </w:rPr>
        <w:t>а</w:t>
      </w:r>
      <w:r w:rsidRPr="007079CE">
        <w:rPr>
          <w:b/>
          <w:color w:val="000000" w:themeColor="text1"/>
          <w:spacing w:val="1"/>
        </w:rPr>
        <w:t>ци</w:t>
      </w:r>
      <w:r w:rsidRPr="007079CE">
        <w:rPr>
          <w:b/>
          <w:color w:val="000000" w:themeColor="text1"/>
        </w:rPr>
        <w:t>я</w:t>
      </w:r>
      <w:r w:rsidRPr="007079CE">
        <w:rPr>
          <w:b/>
          <w:color w:val="000000" w:themeColor="text1"/>
          <w:spacing w:val="1"/>
        </w:rPr>
        <w:t xml:space="preserve"> </w:t>
      </w:r>
      <w:r w:rsidRPr="007079CE">
        <w:rPr>
          <w:b/>
          <w:color w:val="000000" w:themeColor="text1"/>
          <w:spacing w:val="-1"/>
        </w:rPr>
        <w:t>п</w:t>
      </w:r>
      <w:r w:rsidRPr="007079CE">
        <w:rPr>
          <w:b/>
          <w:color w:val="000000" w:themeColor="text1"/>
          <w:spacing w:val="1"/>
        </w:rPr>
        <w:t>р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3"/>
        </w:rPr>
        <w:t>ф</w:t>
      </w:r>
      <w:r w:rsidRPr="007079CE">
        <w:rPr>
          <w:b/>
          <w:color w:val="000000" w:themeColor="text1"/>
          <w:spacing w:val="-1"/>
        </w:rPr>
        <w:t>е</w:t>
      </w:r>
      <w:r w:rsidRPr="007079CE">
        <w:rPr>
          <w:b/>
          <w:color w:val="000000" w:themeColor="text1"/>
          <w:spacing w:val="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  <w:spacing w:val="1"/>
        </w:rPr>
        <w:t>и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аль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о модуля</w:t>
      </w:r>
    </w:p>
    <w:p w:rsidR="0041350B" w:rsidRPr="007079CE" w:rsidRDefault="007D7134" w:rsidP="007079CE">
      <w:pPr>
        <w:pStyle w:val="Style4"/>
        <w:jc w:val="center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ПМ.01</w:t>
      </w:r>
      <w:r w:rsidR="0041350B" w:rsidRPr="007079CE">
        <w:rPr>
          <w:b/>
          <w:bCs/>
          <w:color w:val="000000" w:themeColor="text1"/>
        </w:rPr>
        <w:t> </w:t>
      </w:r>
      <w:r w:rsidRPr="007079CE">
        <w:rPr>
          <w:b/>
          <w:color w:val="000000" w:themeColor="text1"/>
        </w:rPr>
        <w:t>БРОНИРОВАНИЕ ГОСТИНИЧНЫХ УСЛУГ</w:t>
      </w:r>
    </w:p>
    <w:p w:rsidR="0041350B" w:rsidRPr="007079CE" w:rsidRDefault="0041350B" w:rsidP="007079CE">
      <w:pPr>
        <w:jc w:val="both"/>
        <w:rPr>
          <w:b/>
          <w:bCs/>
          <w:color w:val="000000" w:themeColor="text1"/>
        </w:rPr>
      </w:pPr>
      <w:r w:rsidRPr="007079CE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7D7134" w:rsidRPr="007079CE">
        <w:rPr>
          <w:color w:val="000000" w:themeColor="text1"/>
          <w:lang w:eastAsia="ar-SA"/>
        </w:rPr>
        <w:t>43.02.11 Гостиничный сервис</w:t>
      </w:r>
      <w:r w:rsidRPr="007079CE">
        <w:rPr>
          <w:bCs/>
          <w:color w:val="000000" w:themeColor="text1"/>
        </w:rPr>
        <w:t xml:space="preserve"> </w:t>
      </w:r>
      <w:r w:rsidRPr="007079CE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7D7134" w:rsidRPr="007079CE">
        <w:rPr>
          <w:bCs/>
          <w:color w:val="000000" w:themeColor="text1"/>
        </w:rPr>
        <w:t>Бронирование гостиничных услуг</w:t>
      </w:r>
      <w:r w:rsidRPr="007079CE">
        <w:rPr>
          <w:b/>
          <w:bCs/>
          <w:color w:val="000000" w:themeColor="text1"/>
        </w:rPr>
        <w:t xml:space="preserve"> </w:t>
      </w:r>
      <w:r w:rsidRPr="007079CE">
        <w:rPr>
          <w:color w:val="000000" w:themeColor="text1"/>
        </w:rPr>
        <w:t>и соответствующих профессиональных компетенций (ПК):</w:t>
      </w:r>
    </w:p>
    <w:p w:rsidR="007D7134" w:rsidRPr="007079CE" w:rsidRDefault="007D7134" w:rsidP="007079CE">
      <w:pPr>
        <w:pStyle w:val="a3"/>
        <w:jc w:val="both"/>
        <w:rPr>
          <w:color w:val="000000" w:themeColor="text1"/>
          <w:lang w:eastAsia="ar-SA"/>
        </w:rPr>
      </w:pPr>
      <w:r w:rsidRPr="007079CE">
        <w:rPr>
          <w:color w:val="000000" w:themeColor="text1"/>
          <w:lang w:eastAsia="ar-SA"/>
        </w:rPr>
        <w:t>ПК 1.1. Принимать заказ от потребителей и оформлять его.</w:t>
      </w:r>
    </w:p>
    <w:p w:rsidR="007D7134" w:rsidRPr="007079CE" w:rsidRDefault="007D7134" w:rsidP="007079CE">
      <w:pPr>
        <w:pStyle w:val="a3"/>
        <w:jc w:val="both"/>
        <w:rPr>
          <w:color w:val="000000" w:themeColor="text1"/>
          <w:lang w:eastAsia="ar-SA"/>
        </w:rPr>
      </w:pPr>
      <w:r w:rsidRPr="007079CE">
        <w:rPr>
          <w:color w:val="000000" w:themeColor="text1"/>
          <w:lang w:eastAsia="ar-SA"/>
        </w:rPr>
        <w:t>ПК 1.2. Бронировать и вести документацию.</w:t>
      </w:r>
    </w:p>
    <w:p w:rsidR="007D7134" w:rsidRPr="007079CE" w:rsidRDefault="007D7134" w:rsidP="007079CE">
      <w:pPr>
        <w:pStyle w:val="a3"/>
        <w:jc w:val="both"/>
        <w:rPr>
          <w:color w:val="000000" w:themeColor="text1"/>
          <w:lang w:eastAsia="ar-SA"/>
        </w:rPr>
      </w:pPr>
      <w:r w:rsidRPr="007079CE">
        <w:rPr>
          <w:color w:val="000000" w:themeColor="text1"/>
          <w:lang w:eastAsia="ar-SA"/>
        </w:rPr>
        <w:t>ПК 1.3. Информировать потребителя о бронировании.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7079CE" w:rsidRDefault="0041350B" w:rsidP="007079CE">
      <w:pPr>
        <w:jc w:val="both"/>
        <w:rPr>
          <w:bCs/>
          <w:color w:val="000000" w:themeColor="text1"/>
        </w:rPr>
      </w:pPr>
      <w:r w:rsidRPr="007079CE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7079CE">
        <w:rPr>
          <w:bCs/>
          <w:color w:val="000000" w:themeColor="text1"/>
        </w:rPr>
        <w:t xml:space="preserve">оения профессионального модуля </w:t>
      </w:r>
      <w:r w:rsidRPr="007079CE">
        <w:rPr>
          <w:bCs/>
          <w:color w:val="000000" w:themeColor="text1"/>
        </w:rPr>
        <w:t>должен: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иметь практический опыт: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приема заказов на бронирование от потребителей;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выполнения бронирования и ведения его документационного обеспечения;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информирования потребителя о бронировании;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уметь: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организовать рабочее место службы бронирования;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оформлять и составлять различные виды заявок и бланков;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вести учет и хранение отчетных данных;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владеть технологией ведения телефонных переговоров;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аннулировать бронирование;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консультировать потребителей о применяемых способах бронирования;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осуществлять гарантирование бронирования различными методами;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использовать технические, телекоммуникационные средства и профессиональные программы для приема заказа и обеспечения бронирования;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знать: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правила предоставления гостиничных услуг в Российской Федерации;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организацию службы бронирования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 xml:space="preserve">виды и способы бронирования; 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виды заявок по бронированию и действия по ним;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последовательность и технологию резервирования мест в гостинице;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для приема заказов;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 xml:space="preserve">правила заполнения бланков бронирования для </w:t>
      </w:r>
      <w:proofErr w:type="spellStart"/>
      <w:r w:rsidRPr="007079CE">
        <w:rPr>
          <w:color w:val="000000" w:themeColor="text1"/>
          <w:sz w:val="24"/>
          <w:szCs w:val="24"/>
        </w:rPr>
        <w:t>индивидуалов</w:t>
      </w:r>
      <w:proofErr w:type="spellEnd"/>
      <w:r w:rsidRPr="007079CE">
        <w:rPr>
          <w:color w:val="000000" w:themeColor="text1"/>
          <w:sz w:val="24"/>
          <w:szCs w:val="24"/>
        </w:rPr>
        <w:t>, компаний, турагентств и операторов;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особенности и методы гарантированного и негарантированного бронирования;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правила аннулирования бронирования;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правила ведения телефонных переговоров и поведения в конфликтных ситуациях с потребителями при бронировании;</w:t>
      </w:r>
    </w:p>
    <w:p w:rsidR="007D7134" w:rsidRPr="007079CE" w:rsidRDefault="007D7134" w:rsidP="007079CE">
      <w:pPr>
        <w:pStyle w:val="14"/>
        <w:spacing w:line="276" w:lineRule="auto"/>
        <w:rPr>
          <w:color w:val="000000" w:themeColor="text1"/>
          <w:sz w:val="24"/>
          <w:szCs w:val="24"/>
        </w:rPr>
      </w:pPr>
      <w:r w:rsidRPr="007079CE">
        <w:rPr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для обеспечения процесса бронирования</w:t>
      </w:r>
    </w:p>
    <w:p w:rsidR="0041350B" w:rsidRPr="007079CE" w:rsidRDefault="0041350B" w:rsidP="007079CE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lastRenderedPageBreak/>
        <w:t>Результаты освоения про</w:t>
      </w:r>
      <w:bookmarkStart w:id="0" w:name="_GoBack"/>
      <w:bookmarkEnd w:id="0"/>
      <w:r w:rsidRPr="007079CE">
        <w:rPr>
          <w:b/>
          <w:bCs/>
          <w:color w:val="000000" w:themeColor="text1"/>
        </w:rPr>
        <w:t>фессионального модуля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7D7134" w:rsidRPr="007079CE">
        <w:rPr>
          <w:color w:val="000000" w:themeColor="text1"/>
        </w:rPr>
        <w:t>Бронирование гостиничных услуг</w:t>
      </w:r>
      <w:r w:rsidRPr="007079CE">
        <w:rPr>
          <w:b/>
          <w:color w:val="000000" w:themeColor="text1"/>
        </w:rPr>
        <w:t>,</w:t>
      </w:r>
      <w:r w:rsidRPr="007079CE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ПК1.1.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Принимать заказ от потребителей и оформлять его.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 xml:space="preserve">ПК 1.2. 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Бронировать и вести документацию.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ПК 1.3.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Информировать потребителя о бронировании.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 xml:space="preserve">ОК 1 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Понимать сущность и социальную значимость своей будущей профессии. проявлять к ней устойчивый интерес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 xml:space="preserve">ОК 2 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 xml:space="preserve">ОК 3 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Принимать решения в стандартны и нестандартных ситуациях и нести за них ответственность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4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5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6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7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8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ОК 9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jc w:val="both"/>
              <w:rPr>
                <w:color w:val="000000" w:themeColor="text1"/>
              </w:rPr>
            </w:pPr>
            <w:r w:rsidRPr="007079CE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7079CE" w:rsidRDefault="007D7134" w:rsidP="007079CE">
      <w:pPr>
        <w:jc w:val="both"/>
        <w:rPr>
          <w:color w:val="000000" w:themeColor="text1"/>
        </w:rPr>
      </w:pPr>
    </w:p>
    <w:p w:rsidR="0041350B" w:rsidRPr="007079CE" w:rsidRDefault="0041350B" w:rsidP="007079CE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МДК. 01.01. Организация деятельности служб бронирования гостиничных услуг.</w:t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Раздел 1.Принятие заказа от потребителей и его оформление</w:t>
      </w:r>
      <w:r w:rsidRPr="007079CE">
        <w:rPr>
          <w:color w:val="000000" w:themeColor="text1"/>
        </w:rPr>
        <w:tab/>
      </w:r>
      <w:r w:rsidRPr="007079CE">
        <w:rPr>
          <w:color w:val="000000" w:themeColor="text1"/>
        </w:rPr>
        <w:tab/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1.1. Услуги по бронированию (</w:t>
      </w:r>
      <w:proofErr w:type="spellStart"/>
      <w:r w:rsidRPr="007079CE">
        <w:rPr>
          <w:color w:val="000000" w:themeColor="text1"/>
        </w:rPr>
        <w:t>Reserva-tion</w:t>
      </w:r>
      <w:proofErr w:type="spellEnd"/>
      <w:r w:rsidRPr="007079CE">
        <w:rPr>
          <w:color w:val="000000" w:themeColor="text1"/>
        </w:rPr>
        <w:t>).</w:t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1.2. Система бронирования номеров гостиницы.</w:t>
      </w:r>
      <w:r w:rsidRPr="007079CE">
        <w:rPr>
          <w:color w:val="000000" w:themeColor="text1"/>
        </w:rPr>
        <w:tab/>
        <w:t xml:space="preserve"> </w:t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1.3. Структура службы бронирования гостиницы.</w:t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1.4. Основные функции службы бронирования.</w:t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Тема 1.5. Управление </w:t>
      </w:r>
      <w:proofErr w:type="spellStart"/>
      <w:r w:rsidRPr="007079CE">
        <w:rPr>
          <w:color w:val="000000" w:themeColor="text1"/>
        </w:rPr>
        <w:t>бизнесс</w:t>
      </w:r>
      <w:proofErr w:type="spellEnd"/>
      <w:r w:rsidRPr="007079CE">
        <w:rPr>
          <w:color w:val="000000" w:themeColor="text1"/>
        </w:rPr>
        <w:t>-процессом бронирования.</w:t>
      </w:r>
      <w:r w:rsidRPr="007079CE">
        <w:rPr>
          <w:color w:val="000000" w:themeColor="text1"/>
        </w:rPr>
        <w:tab/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1.6. Источники и каналы получения гостиницей запросов на бронирование номеров.</w:t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1.7. Способы бронирования и резервирования мест в гостинице.</w:t>
      </w:r>
    </w:p>
    <w:p w:rsidR="007D7134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Тема 1.8. Перспективы развития компьютерных систем в индустрии гостеприимства </w:t>
      </w:r>
      <w:r w:rsidRPr="007079CE">
        <w:rPr>
          <w:color w:val="000000" w:themeColor="text1"/>
        </w:rPr>
        <w:tab/>
      </w:r>
    </w:p>
    <w:p w:rsidR="007D7B9A" w:rsidRPr="007079CE" w:rsidRDefault="007D7134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>Тема 1.9. Алгоритм обработки письма-заявки на размещение и его оформление</w:t>
      </w:r>
      <w:r w:rsidRPr="007079CE">
        <w:rPr>
          <w:color w:val="000000" w:themeColor="text1"/>
        </w:rPr>
        <w:tab/>
      </w:r>
    </w:p>
    <w:sectPr w:rsidR="007D7B9A" w:rsidRPr="0070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41350B"/>
    <w:rsid w:val="007079CE"/>
    <w:rsid w:val="007D7134"/>
    <w:rsid w:val="007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2017-10-14T18:40:00Z</dcterms:created>
  <dcterms:modified xsi:type="dcterms:W3CDTF">2017-10-14T19:37:00Z</dcterms:modified>
</cp:coreProperties>
</file>